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pStyle w:val="Normal"/>
        <w:bidi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2025-2026 учебного года</w:t>
      </w:r>
    </w:p>
    <w:p>
      <w:pPr>
        <w:pStyle w:val="Normal"/>
        <w:bidi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</w:t>
      </w:r>
      <w:r>
        <w:rPr>
          <w:b/>
          <w:sz w:val="20"/>
          <w:szCs w:val="20"/>
          <w:lang w:val="ru-RU"/>
        </w:rPr>
        <w:t>Цифровое а</w:t>
      </w:r>
      <w:r>
        <w:rPr>
          <w:b/>
          <w:sz w:val="20"/>
          <w:szCs w:val="20"/>
        </w:rPr>
        <w:t>рхивоведение и документоведение»</w:t>
      </w:r>
    </w:p>
    <w:p>
      <w:pPr>
        <w:pStyle w:val="Normal"/>
        <w:bidi w:val="0"/>
        <w:jc w:val="star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ind w:start="-851"/>
        <w:jc w:val="start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</w:r>
    </w:p>
    <w:tbl>
      <w:tblPr>
        <w:tblW w:w="10490" w:type="dxa"/>
        <w:jc w:val="start"/>
        <w:tblInd w:w="-856" w:type="dxa"/>
        <w:tblLayout w:type="fixed"/>
        <w:tblCellMar>
          <w:top w:w="0" w:type="dxa"/>
          <w:start w:w="115" w:type="dxa"/>
          <w:bottom w:w="0" w:type="dxa"/>
          <w:end w:w="115" w:type="dxa"/>
        </w:tblCellMar>
        <w:tblLook w:firstRow="0" w:noVBand="1" w:lastRow="0" w:firstColumn="0" w:lastColumn="0" w:noHBand="0" w:val="0400"/>
      </w:tblPr>
      <w:tblGrid>
        <w:gridCol w:w="1701"/>
        <w:gridCol w:w="1275"/>
        <w:gridCol w:w="994"/>
        <w:gridCol w:w="991"/>
        <w:gridCol w:w="1134"/>
        <w:gridCol w:w="709"/>
        <w:gridCol w:w="1422"/>
        <w:gridCol w:w="2263"/>
      </w:tblGrid>
      <w:tr>
        <w:trPr>
          <w:trHeight w:val="265" w:hRule="atLeast"/>
        </w:trPr>
        <w:tc>
          <w:tcPr>
            <w:tcW w:w="17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bidi w:val="0"/>
              <w:jc w:val="star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>
            <w:pPr>
              <w:pStyle w:val="Normal"/>
              <w:bidi w:val="0"/>
              <w:jc w:val="start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pStyle w:val="Normal"/>
              <w:bidi w:val="0"/>
              <w:jc w:val="start"/>
              <w:rPr>
                <w:bCs/>
                <w:i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>
            <w:pPr>
              <w:pStyle w:val="Normal"/>
              <w:bidi w:val="0"/>
              <w:jc w:val="start"/>
              <w:rPr>
                <w:bCs/>
                <w:i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</w:r>
          </w:p>
        </w:tc>
      </w:tr>
      <w:tr>
        <w:trPr>
          <w:trHeight w:val="883" w:hRule="atLeast"/>
        </w:trPr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269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26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1728359 - 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kk-KZ"/>
              </w:rPr>
              <w:t>рхе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графи</w:t>
            </w:r>
            <w:r>
              <w:rPr>
                <w:sz w:val="20"/>
                <w:szCs w:val="20"/>
                <w:lang w:val="ru-RU"/>
              </w:rPr>
              <w:t>я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Style w:val="normaltextrun"/>
                <w:rFonts w:eastAsia="DejaVu Sans" w:eastAsiaTheme="majorEastAsia"/>
                <w:sz w:val="16"/>
                <w:szCs w:val="16"/>
                <w:shd w:fill="FFFFFF" w:val="clear"/>
                <w:lang w:val="kk-KZ"/>
              </w:rPr>
            </w:pPr>
            <w:r>
              <w:rPr>
                <w:rStyle w:val="normaltextrun"/>
                <w:rFonts w:eastAsia="DejaVu Sans" w:eastAsiaTheme="majorEastAsia"/>
                <w:sz w:val="16"/>
                <w:szCs w:val="16"/>
                <w:shd w:fill="FFFFFF" w:val="clear"/>
              </w:rPr>
              <w:t>Количество</w:t>
            </w:r>
            <w:r>
              <w:rPr>
                <w:rStyle w:val="normaltextrun"/>
                <w:rFonts w:eastAsia="DejaVu Sans" w:eastAsiaTheme="majorEastAsia"/>
                <w:sz w:val="16"/>
                <w:szCs w:val="16"/>
                <w:shd w:fill="FFFFFF" w:val="clear"/>
                <w:lang w:val="kk-KZ"/>
              </w:rPr>
              <w:t xml:space="preserve"> СРО</w:t>
            </w:r>
            <w:r>
              <w:rPr>
                <w:rStyle w:val="normaltextrun"/>
                <w:rFonts w:eastAsia="DejaVu Sans" w:eastAsiaTheme="majorEastAsia"/>
                <w:sz w:val="16"/>
                <w:szCs w:val="16"/>
                <w:shd w:fill="FFFFFF" w:val="clear"/>
              </w:rPr>
              <w:t xml:space="preserve"> </w:t>
            </w:r>
            <w:r>
              <w:rPr>
                <w:rStyle w:val="normaltextrun"/>
                <w:rFonts w:eastAsia="DejaVu Sans" w:eastAsiaTheme="majorEastAsia"/>
                <w:sz w:val="16"/>
                <w:szCs w:val="16"/>
                <w:shd w:fill="FFFFFF" w:val="clear"/>
                <w:lang w:val="kk-KZ"/>
              </w:rPr>
              <w:t>5.</w:t>
            </w:r>
          </w:p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rFonts w:eastAsia="DejaVu Sans" w:eastAsiaTheme="majorEastAsia"/>
                <w:sz w:val="20"/>
                <w:szCs w:val="20"/>
                <w:shd w:fill="FFFFFF" w:val="clear"/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</w:t>
            </w:r>
          </w:p>
          <w:p>
            <w:pPr>
              <w:pStyle w:val="Normal"/>
              <w:bidi w:val="0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СРОП 5</w:t>
            </w:r>
          </w:p>
          <w:p>
            <w:pPr>
              <w:pStyle w:val="Normal"/>
              <w:bidi w:val="0"/>
              <w:jc w:val="star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</w:tr>
      <w:tr>
        <w:trPr>
          <w:trHeight w:val="225" w:hRule="atLeast"/>
        </w:trPr>
        <w:tc>
          <w:tcPr>
            <w:tcW w:w="10489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>
            <w:pPr>
              <w:pStyle w:val="Normal"/>
              <w:bidi w:val="0"/>
              <w:jc w:val="start"/>
              <w:rPr>
                <w:bCs/>
                <w:i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Экзамен - устно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>
        <w:trPr>
          <w:trHeight w:val="214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Сексенбаева Г.А. – д.и.н.,профессор</w:t>
            </w:r>
          </w:p>
        </w:tc>
        <w:tc>
          <w:tcPr>
            <w:tcW w:w="368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seksenbaevagulzira@gmail.com</w:t>
            </w:r>
          </w:p>
        </w:tc>
        <w:tc>
          <w:tcPr>
            <w:tcW w:w="368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87472960460</w:t>
            </w:r>
          </w:p>
        </w:tc>
        <w:tc>
          <w:tcPr>
            <w:tcW w:w="368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9" w:hRule="atLeast"/>
        </w:trPr>
        <w:tc>
          <w:tcPr>
            <w:tcW w:w="10489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>
        <w:trPr>
          <w:trHeight w:val="470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дисциплины:</w:t>
            </w: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  <w:t xml:space="preserve"> 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rStyle w:val="eop"/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normaltextrun"/>
                <w:rFonts w:eastAsia="DejaVu Sans" w:eastAsiaTheme="majorEastAsia"/>
                <w:b/>
                <w:bCs/>
                <w:color w:val="000000"/>
                <w:sz w:val="20"/>
                <w:szCs w:val="20"/>
                <w:shd w:fill="FFFFFF" w:val="clear"/>
              </w:rPr>
              <w:t>Индикаторы достижения РО (ИД) </w:t>
            </w:r>
            <w:r>
              <w:rPr>
                <w:rStyle w:val="eop"/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  <w:t> </w:t>
            </w:r>
          </w:p>
          <w:p>
            <w:pPr>
              <w:pStyle w:val="Normal"/>
              <w:bidi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</w:r>
          </w:p>
        </w:tc>
      </w:tr>
      <w:tr>
        <w:trPr>
          <w:trHeight w:val="340" w:hRule="atLeast"/>
        </w:trPr>
        <w:tc>
          <w:tcPr>
            <w:tcW w:w="17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Дать студентам </w:t>
            </w:r>
            <w:r>
              <w:rPr>
                <w:color w:val="000000"/>
                <w:sz w:val="20"/>
                <w:szCs w:val="20"/>
              </w:rPr>
              <w:t xml:space="preserve">системное представление об истории и современном состоянии археографии в </w:t>
            </w:r>
            <w:r>
              <w:rPr>
                <w:color w:val="000000"/>
                <w:sz w:val="20"/>
                <w:szCs w:val="20"/>
                <w:lang w:val="kk-KZ"/>
              </w:rPr>
              <w:t>Казахстане</w:t>
            </w:r>
            <w:r>
              <w:rPr>
                <w:color w:val="000000"/>
                <w:sz w:val="20"/>
                <w:szCs w:val="20"/>
              </w:rPr>
              <w:t xml:space="preserve">, особенностях публикаций различных видов документов, практике археографической обработки документов и </w:t>
            </w:r>
            <w:r>
              <w:rPr>
                <w:sz w:val="20"/>
                <w:szCs w:val="20"/>
              </w:rPr>
              <w:t>сформировать профессиональные компетенции в области археографии различных типов и видов документов</w:t>
            </w:r>
          </w:p>
        </w:tc>
        <w:tc>
          <w:tcPr>
            <w:tcW w:w="5103" w:type="dxa"/>
            <w:gridSpan w:val="5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bidi w:val="0"/>
              <w:jc w:val="star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раскрыть историю развития археографии и роли архивных и научных учреждений в ее развитии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DejaVu Sans" w:eastAsiaTheme="majorEastAsia"/>
                <w:color w:val="000000"/>
                <w:sz w:val="20"/>
                <w:szCs w:val="20"/>
                <w:shd w:fill="FFFFFF" w:val="clear"/>
                <w:lang w:val="kk-KZ"/>
              </w:rPr>
              <w:t xml:space="preserve">Понимать </w:t>
            </w:r>
            <w:r>
              <w:rPr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  <w:t xml:space="preserve">развитие археографических понятий </w:t>
            </w:r>
          </w:p>
          <w:p>
            <w:pPr>
              <w:pStyle w:val="Normal"/>
              <w:bidi w:val="0"/>
              <w:jc w:val="start"/>
              <w:rPr>
                <w:rStyle w:val="normaltextrun"/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  <w:t>Определять предмет, объект археографии, его междисциплинарные связи</w:t>
            </w:r>
          </w:p>
        </w:tc>
      </w:tr>
      <w:tr>
        <w:trPr>
          <w:trHeight w:val="547" w:hRule="atLeast"/>
        </w:trPr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5103" w:type="dxa"/>
            <w:gridSpan w:val="5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Style w:val="normaltextrun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исторические предпосылки возникновения и условия развития отечественной археографии</w:t>
            </w:r>
          </w:p>
        </w:tc>
      </w:tr>
      <w:tr>
        <w:trPr>
          <w:trHeight w:val="570" w:hRule="atLeast"/>
        </w:trPr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5103" w:type="dxa"/>
            <w:gridSpan w:val="5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spacing w:val="-8"/>
                <w:sz w:val="20"/>
                <w:szCs w:val="20"/>
              </w:rPr>
              <w:t>классифицировать</w:t>
            </w:r>
            <w:r>
              <w:rPr>
                <w:sz w:val="20"/>
                <w:szCs w:val="20"/>
              </w:rPr>
              <w:t xml:space="preserve"> основную терминологию по археографии, анализировать функции публикации и ее классификацию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Style w:val="normaltextrun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знать значение археографических публикаций для</w:t>
            </w:r>
            <w:r>
              <w:rPr>
                <w:spacing w:val="-9"/>
                <w:sz w:val="20"/>
                <w:szCs w:val="20"/>
              </w:rPr>
              <w:t xml:space="preserve"> пропаганды культурного наследия и сохранности документальных памятников</w:t>
            </w:r>
          </w:p>
        </w:tc>
      </w:tr>
      <w:tr>
        <w:trPr>
          <w:trHeight w:val="760" w:hRule="atLeast"/>
        </w:trPr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5103" w:type="dxa"/>
            <w:gridSpan w:val="5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  <w:t>Использовать специальные термины археографии;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знать классификацию документальных публикаций</w:t>
            </w:r>
          </w:p>
          <w:p>
            <w:pPr>
              <w:pStyle w:val="Normal"/>
              <w:bidi w:val="0"/>
              <w:jc w:val="start"/>
              <w:rPr>
                <w:rStyle w:val="normaltextrun"/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  <w:t xml:space="preserve"> </w:t>
            </w:r>
            <w:r>
              <w:rPr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  <w:t>Анализировать и сравнивать возможности и перспективы развития архивоведения</w:t>
            </w:r>
          </w:p>
        </w:tc>
      </w:tr>
      <w:tr>
        <w:trPr>
          <w:trHeight w:val="650" w:hRule="atLeast"/>
        </w:trPr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5103" w:type="dxa"/>
            <w:gridSpan w:val="5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sz w:val="20"/>
                <w:szCs w:val="20"/>
              </w:rPr>
              <w:t>объяснить принципы выявления и отбора материалов к подготовке публикации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</w:t>
            </w:r>
            <w:r>
              <w:rPr>
                <w:spacing w:val="-8"/>
                <w:sz w:val="20"/>
                <w:szCs w:val="20"/>
              </w:rPr>
              <w:t xml:space="preserve"> общие требования к выявлению документов</w:t>
            </w:r>
          </w:p>
          <w:p>
            <w:pPr>
              <w:pStyle w:val="NoSpacing"/>
              <w:jc w:val="both"/>
              <w:rPr>
                <w:rStyle w:val="normaltextrun"/>
                <w:spacing w:val="-8"/>
              </w:rPr>
            </w:pPr>
            <w:r>
              <w:rPr>
                <w:spacing w:val="-8"/>
                <w:sz w:val="20"/>
                <w:szCs w:val="20"/>
              </w:rPr>
              <w:t>анализировать к</w:t>
            </w:r>
            <w:r>
              <w:rPr>
                <w:sz w:val="20"/>
                <w:szCs w:val="20"/>
              </w:rPr>
              <w:t>ритерии выбора текста документа для документальной публикации</w:t>
            </w:r>
            <w:r>
              <w:rPr>
                <w:spacing w:val="-8"/>
              </w:rPr>
              <w:t xml:space="preserve"> </w:t>
            </w:r>
          </w:p>
        </w:tc>
      </w:tr>
      <w:tr>
        <w:trPr>
          <w:trHeight w:val="558" w:hRule="atLeast"/>
        </w:trPr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5103" w:type="dxa"/>
            <w:gridSpan w:val="5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принципами воспроизведения текста документа в документальной публикации</w:t>
            </w:r>
          </w:p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классифицировать </w:t>
            </w:r>
            <w:r>
              <w:rPr>
                <w:sz w:val="20"/>
                <w:szCs w:val="20"/>
              </w:rPr>
              <w:t>основные критерии фильтрации документа для документальной публикации</w:t>
            </w:r>
          </w:p>
          <w:p>
            <w:pPr>
              <w:pStyle w:val="NoSpacing"/>
              <w:jc w:val="both"/>
              <w:rPr>
                <w:rStyle w:val="normaltextrun"/>
              </w:rPr>
            </w:pPr>
            <w:r>
              <w:rPr>
                <w:sz w:val="20"/>
                <w:szCs w:val="20"/>
              </w:rPr>
              <w:t>освоить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систематизацию документов в документальной публикации</w:t>
            </w:r>
          </w:p>
        </w:tc>
      </w:tr>
      <w:tr>
        <w:trPr>
          <w:trHeight w:val="370" w:hRule="atLeast"/>
        </w:trPr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5103" w:type="dxa"/>
            <w:gridSpan w:val="5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sz w:val="20"/>
                <w:szCs w:val="20"/>
              </w:rPr>
              <w:t xml:space="preserve">систематизировать знания об </w:t>
            </w:r>
            <w:r>
              <w:rPr>
                <w:sz w:val="20"/>
                <w:szCs w:val="20"/>
                <w:lang w:val="kk-KZ" w:eastAsia="ko-KR"/>
              </w:rPr>
              <w:t>археографическом оформлении документов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bidi w:val="0"/>
              <w:spacing w:lineRule="exact" w:line="209" w:before="43" w:after="0"/>
              <w:ind w:end="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распознавать поэтапность археографического оформления</w:t>
            </w:r>
          </w:p>
          <w:p>
            <w:pPr>
              <w:pStyle w:val="Normal"/>
              <w:shd w:val="clear" w:color="auto" w:fill="FFFFFF"/>
              <w:bidi w:val="0"/>
              <w:spacing w:lineRule="exact" w:line="209" w:before="43" w:after="0"/>
              <w:ind w:end="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составлять </w:t>
            </w:r>
            <w:r>
              <w:rPr>
                <w:spacing w:val="-12"/>
                <w:sz w:val="20"/>
                <w:szCs w:val="20"/>
              </w:rPr>
              <w:t>заголовок публикуемого документа и знать функцию его элементов</w:t>
            </w:r>
          </w:p>
          <w:p>
            <w:pPr>
              <w:pStyle w:val="Normal"/>
              <w:bidi w:val="0"/>
              <w:jc w:val="both"/>
              <w:rPr>
                <w:rStyle w:val="normaltextrun"/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составлять</w:t>
            </w:r>
            <w:r>
              <w:rPr>
                <w:spacing w:val="-8"/>
                <w:sz w:val="20"/>
                <w:szCs w:val="20"/>
              </w:rPr>
              <w:t xml:space="preserve"> легенду (контрольно-справочные сведения) </w:t>
            </w:r>
            <w:r>
              <w:rPr>
                <w:sz w:val="20"/>
                <w:szCs w:val="20"/>
              </w:rPr>
              <w:t>документальной публикации</w:t>
            </w:r>
          </w:p>
        </w:tc>
      </w:tr>
      <w:tr>
        <w:trPr>
          <w:trHeight w:val="590" w:hRule="atLeast"/>
        </w:trPr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5103" w:type="dxa"/>
            <w:gridSpan w:val="5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0"/>
              </w:numPr>
              <w:bidi w:val="0"/>
              <w:ind w:hanging="0" w:start="72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Style w:val="normaltextrun"/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DejaVu Sans" w:eastAsiaTheme="majorEastAsia"/>
                <w:color w:val="000000"/>
                <w:sz w:val="20"/>
                <w:szCs w:val="20"/>
                <w:shd w:fill="FFFFFF" w:val="clear"/>
                <w:lang w:val="kk-KZ"/>
              </w:rPr>
              <w:t>Анализировать позновательные концепции автора и его вклад в развитие проблемы</w:t>
            </w:r>
          </w:p>
        </w:tc>
      </w:tr>
      <w:tr>
        <w:trPr>
          <w:trHeight w:val="50" w:hRule="atLeast"/>
        </w:trPr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5103" w:type="dxa"/>
            <w:gridSpan w:val="5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Style w:val="normaltextrun"/>
                <w:rFonts w:eastAsia="DejaVu Sans" w:eastAsiaTheme="majorEastAsia"/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DejaVu Sans" w:eastAsiaTheme="majorEastAsia"/>
                <w:b/>
                <w:bCs/>
                <w:color w:val="000000"/>
                <w:sz w:val="20"/>
                <w:szCs w:val="20"/>
                <w:shd w:fill="FFFFFF" w:val="clear"/>
              </w:rPr>
            </w:r>
          </w:p>
        </w:tc>
      </w:tr>
      <w:tr>
        <w:trPr>
          <w:trHeight w:val="890" w:hRule="atLeast"/>
        </w:trPr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5103" w:type="dxa"/>
            <w:gridSpan w:val="5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istParagraph"/>
              <w:bidi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  <w:t xml:space="preserve">5. </w:t>
            </w:r>
            <w:r>
              <w:rPr>
                <w:sz w:val="20"/>
                <w:szCs w:val="20"/>
              </w:rPr>
              <w:t xml:space="preserve">систематизировать знания о </w:t>
            </w:r>
            <w:r>
              <w:rPr>
                <w:sz w:val="20"/>
                <w:szCs w:val="20"/>
                <w:lang w:val="kk-KZ" w:eastAsia="ko-KR"/>
              </w:rPr>
              <w:t>научно – справочном аппарате публикации и его значении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определять зависимость состава и полноты НСА от типа документальной публикации</w:t>
            </w:r>
          </w:p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владеть основ</w:t>
              <w:softHyphen/>
            </w:r>
            <w:r>
              <w:rPr>
                <w:sz w:val="20"/>
                <w:szCs w:val="20"/>
              </w:rPr>
              <w:t>ными приемами и методами  составления НСА документальной публикации</w:t>
            </w:r>
          </w:p>
          <w:p>
            <w:pPr>
              <w:pStyle w:val="Normal"/>
              <w:bidi w:val="0"/>
              <w:jc w:val="both"/>
              <w:rPr>
                <w:rStyle w:val="normaltextrun"/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обобщать</w:t>
            </w:r>
            <w:r>
              <w:rPr>
                <w:spacing w:val="-9"/>
                <w:sz w:val="20"/>
                <w:szCs w:val="20"/>
              </w:rPr>
              <w:t xml:space="preserve"> перспективы применения мультимедиа технологий в подготовке публикаций архивных документов</w:t>
            </w:r>
          </w:p>
        </w:tc>
      </w:tr>
      <w:tr>
        <w:trPr>
          <w:trHeight w:val="1345" w:hRule="atLeast"/>
        </w:trPr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5103" w:type="dxa"/>
            <w:gridSpan w:val="5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istParagraph"/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sz w:val="20"/>
                <w:szCs w:val="20"/>
              </w:rPr>
              <w:t xml:space="preserve">оценить значимость полученных результатов проектного исследования в собственном профессиональном становлении и в развитии  научной парадигмы археографии </w:t>
            </w:r>
          </w:p>
        </w:tc>
      </w:tr>
      <w:tr>
        <w:trPr>
          <w:trHeight w:val="288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21301-</w:t>
            </w:r>
            <w:r>
              <w:rPr>
                <w:bCs/>
                <w:sz w:val="20"/>
                <w:szCs w:val="20"/>
              </w:rPr>
              <w:t xml:space="preserve">Источниковедение, </w:t>
            </w:r>
            <w:r>
              <w:rPr>
                <w:bCs/>
                <w:sz w:val="20"/>
                <w:szCs w:val="20"/>
              </w:rPr>
              <w:t>7067-</w:t>
            </w:r>
            <w:r>
              <w:rPr>
                <w:bCs/>
                <w:sz w:val="20"/>
                <w:szCs w:val="20"/>
              </w:rPr>
              <w:t xml:space="preserve">Архивоведение, </w:t>
            </w:r>
            <w:r>
              <w:rPr>
                <w:bCs/>
                <w:sz w:val="20"/>
                <w:szCs w:val="20"/>
              </w:rPr>
              <w:t>7074-</w:t>
            </w:r>
            <w:r>
              <w:rPr>
                <w:bCs/>
                <w:sz w:val="20"/>
                <w:szCs w:val="20"/>
              </w:rPr>
              <w:t>Документоведение</w:t>
            </w:r>
          </w:p>
        </w:tc>
      </w:tr>
      <w:tr>
        <w:trPr>
          <w:trHeight w:val="288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91563-</w:t>
            </w:r>
            <w:r>
              <w:rPr>
                <w:sz w:val="20"/>
                <w:szCs w:val="20"/>
              </w:rPr>
              <w:t xml:space="preserve">Аудиовизуальные архивы, </w:t>
            </w:r>
            <w:r>
              <w:rPr>
                <w:sz w:val="20"/>
                <w:szCs w:val="20"/>
              </w:rPr>
              <w:t>82380-</w:t>
            </w:r>
            <w:r>
              <w:rPr>
                <w:sz w:val="20"/>
                <w:szCs w:val="20"/>
                <w:lang w:val="ru-RU"/>
              </w:rPr>
              <w:t>Электронные документы и архивы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Cs/>
                <w:color w:val="FF0000"/>
                <w:sz w:val="20"/>
                <w:szCs w:val="20"/>
                <w:shd w:fill="FFFFFF" w:val="clear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themeColor="text1" w:val="000000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>
            <w:pPr>
              <w:pStyle w:val="NoSpacing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Афиани В.Ю., Комочев Н.А. Археография. Теория, история и методика. – М. 2023. 300 с.</w:t>
            </w:r>
          </w:p>
          <w:p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Козлов В.П. Российская археография в конце ХҮІІІ – первой четверти ХІХ века. – М::РГГУ,1999. - 416 с.</w:t>
            </w:r>
          </w:p>
          <w:p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Козлов В.П. Основы теоретической и прикладной археографии. – М::РОССПЭН,2008. -248 с.</w:t>
            </w:r>
          </w:p>
          <w:p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 Г.И. Археография: Учеб. пособие. – М.: РГГУ, 1996.</w:t>
            </w:r>
          </w:p>
          <w:p>
            <w:pPr>
              <w:pStyle w:val="NoSpacing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Степанский А.Д. Археография отечественной истории ХХ в. М::РГГУ,2004.</w:t>
            </w:r>
          </w:p>
          <w:p>
            <w:pPr>
              <w:pStyle w:val="NoSpacing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Сборник нормативно-правовых актов, научно методических документов в области архивного дела 1998-2001. Алматы., 2007.</w:t>
            </w:r>
          </w:p>
          <w:p>
            <w:pPr>
              <w:pStyle w:val="NoSpacing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Шумейко М.Ф. Археография: курс лекции. – Минск: БГУ, 2005. – 431</w:t>
            </w:r>
            <w:r>
              <w:rPr>
                <w:lang w:val="kk-KZ"/>
              </w:rPr>
              <w:t xml:space="preserve"> с.</w:t>
            </w:r>
          </w:p>
          <w:p>
            <w:pPr>
              <w:pStyle w:val="NoSpacing"/>
              <w:rPr>
                <w:b/>
                <w:bCs/>
                <w:color w:themeColor="text1"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  <w:lang w:val="kk-KZ"/>
              </w:rPr>
              <w:t>Исследовательская инфраструктура</w:t>
            </w:r>
          </w:p>
          <w:p>
            <w:pPr>
              <w:pStyle w:val="Normal"/>
              <w:bidi w:val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</w:rPr>
              <w:t>Лаборатория при кафедре архивоведения Архива Президента РК</w:t>
            </w:r>
          </w:p>
          <w:p>
            <w:pPr>
              <w:pStyle w:val="Normal"/>
              <w:bidi w:val="0"/>
              <w:jc w:val="start"/>
              <w:rPr>
                <w:color w:themeColor="text1" w:val="000000"/>
                <w:sz w:val="20"/>
                <w:szCs w:val="20"/>
                <w:lang w:val="kk-KZ"/>
              </w:rPr>
            </w:pPr>
            <w:r>
              <w:rPr>
                <w:color w:themeColor="text1" w:val="000000"/>
                <w:sz w:val="20"/>
                <w:szCs w:val="20"/>
                <w:lang w:val="kk-KZ"/>
              </w:rPr>
              <w:t>2. Аудитории Факультета истории с мультимедийной поддержкой для проведения лекционных и практических занятий,</w:t>
            </w:r>
            <w:r>
              <w:rPr/>
              <w:t xml:space="preserve"> </w:t>
            </w:r>
            <w:r>
              <w:rPr>
                <w:color w:themeColor="text1" w:val="000000"/>
                <w:sz w:val="20"/>
                <w:szCs w:val="20"/>
                <w:lang w:val="kk-KZ"/>
              </w:rPr>
              <w:t>комплект переносного презентационного оборудования</w:t>
            </w:r>
          </w:p>
          <w:p>
            <w:pPr>
              <w:pStyle w:val="Normal"/>
              <w:bidi w:val="0"/>
              <w:jc w:val="start"/>
              <w:rPr>
                <w:color w:themeColor="text1" w:val="000000"/>
                <w:sz w:val="20"/>
                <w:szCs w:val="20"/>
                <w:lang w:val="kk-KZ"/>
              </w:rPr>
            </w:pPr>
            <w:r>
              <w:rPr>
                <w:color w:themeColor="text1" w:val="000000"/>
                <w:sz w:val="20"/>
                <w:szCs w:val="20"/>
                <w:lang w:val="kk-KZ"/>
              </w:rPr>
              <w:t>3. Ведомственный архив КазНУ им.аль-Фараби</w:t>
            </w:r>
          </w:p>
          <w:p>
            <w:pPr>
              <w:pStyle w:val="Normal"/>
              <w:bidi w:val="0"/>
              <w:jc w:val="start"/>
              <w:rPr>
                <w:b/>
                <w:bCs/>
                <w:color w:themeColor="text1"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>
            <w:pPr>
              <w:pStyle w:val="Normal"/>
              <w:bidi w:val="0"/>
              <w:jc w:val="start"/>
              <w:rPr>
                <w:color w:themeColor="text1" w:val="000000"/>
                <w:sz w:val="20"/>
                <w:szCs w:val="20"/>
                <w:lang w:val="kk-KZ"/>
              </w:rPr>
            </w:pPr>
            <w:r>
              <w:rPr>
                <w:color w:themeColor="text1" w:val="000000"/>
                <w:sz w:val="20"/>
                <w:szCs w:val="20"/>
                <w:lang w:val="kk-KZ"/>
              </w:rPr>
              <w:t>Путеводители, каталоги архивов Казахстана (сайты государственных архивов Казахстана)</w:t>
            </w:r>
          </w:p>
          <w:p>
            <w:pPr>
              <w:pStyle w:val="Normal"/>
              <w:bidi w:val="0"/>
              <w:jc w:val="start"/>
              <w:rPr>
                <w:color w:themeColor="text1"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  <w:r>
              <w:rPr>
                <w:color w:val="FF0000"/>
                <w:sz w:val="16"/>
                <w:szCs w:val="16"/>
              </w:rPr>
              <w:t>(не менее 3-5)</w:t>
            </w:r>
          </w:p>
          <w:p>
            <w:pPr>
              <w:pStyle w:val="Normal"/>
              <w:bidi w:val="0"/>
              <w:spacing w:before="0" w:after="27"/>
              <w:jc w:val="start"/>
              <w:rPr>
                <w:rStyle w:val="Hyperlink"/>
                <w:rFonts w:eastAsia="DejaVu Sans" w:eastAsiaTheme="majorEastAsia"/>
                <w:sz w:val="20"/>
                <w:szCs w:val="20"/>
                <w:shd w:fill="FFFFFF" w:val="clear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 xml:space="preserve">. </w:t>
            </w:r>
            <w:hyperlink r:id="rId2">
              <w:r>
                <w:rPr>
                  <w:rStyle w:val="Hyperlink"/>
                  <w:rFonts w:eastAsia="DejaVu Sans" w:eastAsiaTheme="majorEastAsia"/>
                  <w:color w:val="FF0000"/>
                  <w:sz w:val="20"/>
                  <w:szCs w:val="20"/>
                  <w:shd w:fill="FFFFFF" w:val="clear"/>
                  <w:lang w:val="kk-KZ"/>
                </w:rPr>
                <w:t>http://elibrary.kaznu.kz/ru</w:t>
              </w:r>
            </w:hyperlink>
            <w:r>
              <w:rPr>
                <w:rStyle w:val="Hyperlink"/>
                <w:rFonts w:eastAsia="DejaVu Sans" w:eastAsiaTheme="majorEastAsia"/>
                <w:color w:val="FF0000"/>
                <w:sz w:val="20"/>
                <w:szCs w:val="20"/>
                <w:shd w:fill="FFFFFF" w:val="clear"/>
                <w:lang w:val="kk-KZ"/>
              </w:rPr>
              <w:t xml:space="preserve"> </w:t>
            </w:r>
          </w:p>
          <w:p>
            <w:pPr>
              <w:pStyle w:val="Normal"/>
              <w:bidi w:val="0"/>
              <w:jc w:val="star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color w:val="000000"/>
                <w:sz w:val="20"/>
                <w:szCs w:val="20"/>
                <w:shd w:fill="FFFFFF" w:val="clear"/>
              </w:rPr>
              <w:t>Образовательная платформа Юрайт [сайт]. — URL: </w:t>
            </w:r>
            <w:hyperlink r:id="rId3" w:tgtFrame="_blank">
              <w:r>
                <w:rPr>
                  <w:rStyle w:val="Hyperlink"/>
                  <w:rFonts w:eastAsia="DejaVu Sans" w:eastAsiaTheme="majorEastAsia"/>
                  <w:color w:val="486C97"/>
                  <w:sz w:val="20"/>
                  <w:szCs w:val="20"/>
                  <w:shd w:fill="FFFFFF" w:val="clear"/>
                </w:rPr>
                <w:t>https://urait.ru/bcode/510961</w:t>
              </w:r>
            </w:hyperlink>
          </w:p>
          <w:p>
            <w:pPr>
              <w:pStyle w:val="Normal"/>
              <w:bidi w:val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themeColor="text1" w:val="000000"/>
                <w:sz w:val="20"/>
                <w:szCs w:val="20"/>
                <w:lang w:val="kk-KZ"/>
              </w:rPr>
              <w:t xml:space="preserve"> Сайты государственных архивов Казахстана</w:t>
            </w:r>
          </w:p>
        </w:tc>
      </w:tr>
    </w:tbl>
    <w:p>
      <w:pPr>
        <w:pStyle w:val="Normal"/>
        <w:widowControl w:val="false"/>
        <w:bidi w:val="0"/>
        <w:spacing w:lineRule="auto" w:line="276"/>
        <w:jc w:val="star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tbl>
      <w:tblPr>
        <w:tblW w:w="10490" w:type="dxa"/>
        <w:jc w:val="start"/>
        <w:tblInd w:w="-856" w:type="dxa"/>
        <w:tblLayout w:type="fixed"/>
        <w:tblCellMar>
          <w:top w:w="0" w:type="dxa"/>
          <w:start w:w="115" w:type="dxa"/>
          <w:bottom w:w="0" w:type="dxa"/>
          <w:end w:w="115" w:type="dxa"/>
        </w:tblCellMar>
        <w:tblLook w:firstRow="0" w:noVBand="0" w:lastRow="0" w:firstColumn="0" w:lastColumn="0" w:noHBand="0" w:val="0000"/>
      </w:tblPr>
      <w:tblGrid>
        <w:gridCol w:w="847"/>
        <w:gridCol w:w="854"/>
        <w:gridCol w:w="283"/>
        <w:gridCol w:w="1134"/>
        <w:gridCol w:w="1843"/>
        <w:gridCol w:w="3265"/>
        <w:gridCol w:w="2263"/>
      </w:tblGrid>
      <w:tr>
        <w:trPr>
          <w:trHeight w:val="5519" w:hRule="atLeast"/>
        </w:trPr>
        <w:tc>
          <w:tcPr>
            <w:tcW w:w="17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4">
              <w:r>
                <w:rPr>
                  <w:rStyle w:val="Hyperlink"/>
                  <w:rFonts w:eastAsia="DejaVu Sans" w:eastAsiaTheme="majorEastAsi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Hyperlink"/>
                <w:rFonts w:eastAsia="DejaVu Sans" w:eastAsiaTheme="majorEastAsia"/>
                <w:sz w:val="20"/>
                <w:szCs w:val="20"/>
                <w:u w:val="single"/>
              </w:rPr>
              <w:t xml:space="preserve"> и </w:t>
            </w:r>
            <w:hyperlink r:id="rId5">
              <w:r>
                <w:rPr>
                  <w:rStyle w:val="Hyperlink"/>
                  <w:rFonts w:eastAsia="DejaVu Sans" w:eastAsiaTheme="majorEastAsia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Normal"/>
              <w:bidi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>
            <w:pPr>
              <w:pStyle w:val="Normal"/>
              <w:bidi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>
            <w:pPr>
              <w:pStyle w:val="Normal"/>
              <w:bidi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Hyperlink"/>
                <w:rFonts w:eastAsia="DejaVu Sans" w:eastAsiaTheme="majorEastAsia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Hyperlink"/>
                <w:rFonts w:eastAsia="DejaVu Sans" w:eastAsiaTheme="majorEastAsia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6">
              <w:r>
                <w:rPr>
                  <w:rStyle w:val="Hyperlink"/>
                  <w:rFonts w:eastAsia="DejaVu Sans" w:eastAsiaTheme="majorEastAsi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7">
              <w:r>
                <w:rPr>
                  <w:rStyle w:val="Hyperlink"/>
                  <w:rFonts w:eastAsia="DejaVu Sans" w:eastAsiaTheme="majorEastAsi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Hyperlink"/>
                <w:rFonts w:eastAsia="DejaVu Sans" w:eastAsiaTheme="majorEastAsia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Normal"/>
              <w:bidi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>
            <w:pPr>
              <w:pStyle w:val="Normal"/>
              <w:bidi w:val="0"/>
              <w:jc w:val="both"/>
              <w:rPr>
                <w:i/>
                <w:i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seksenbaevagulzira@gmail.com</w:t>
            </w:r>
            <w:r>
              <w:rPr>
                <w:sz w:val="20"/>
                <w:szCs w:val="20"/>
                <w:lang w:val="kk-KZ"/>
              </w:rPr>
              <w:t xml:space="preserve"> 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hyperlink r:id="rId8">
              <w:r>
                <w:rPr>
                  <w:rStyle w:val="Hyperlink"/>
                  <w:i/>
                  <w:color w:val="FF0000"/>
                  <w:sz w:val="20"/>
                  <w:szCs w:val="20"/>
                </w:rPr>
                <w:t>Теоретико-методологические проблем</w:t>
              </w:r>
            </w:hyperlink>
          </w:p>
          <w:p>
            <w:pPr>
              <w:pStyle w:val="Normal"/>
              <w:bidi w:val="0"/>
              <w:jc w:val="both"/>
              <w:rPr>
                <w:i/>
                <w:i/>
                <w:color w:val="FF0000"/>
                <w:sz w:val="20"/>
                <w:szCs w:val="20"/>
              </w:rPr>
            </w:pPr>
            <w:hyperlink r:id="rId9">
              <w:r>
                <w:rPr>
                  <w:rStyle w:val="Hyperlink"/>
                  <w:i/>
                  <w:color w:val="FF0000"/>
                  <w:sz w:val="20"/>
                  <w:szCs w:val="20"/>
                </w:rPr>
                <w:t>ы археографии | Общий | Microsoft Teams</w:t>
              </w:r>
            </w:hyperlink>
          </w:p>
          <w:p>
            <w:pPr>
              <w:pStyle w:val="Normal"/>
              <w:bidi w:val="0"/>
              <w:jc w:val="both"/>
              <w:rPr>
                <w:i/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https://teams.microsoft.com/l/team/19%3A-IENFArdcPfrcTTbo1PNkLjgNWe0UYmEPZ9A1S5E35A1%40thread.tacv2/conversations?groupId=3aadd904-fe01-4b38-929e-5926909d573e&amp;tenantId=b0ab71a5-75b1-4d65-81f7-f479b4978d7b</w:t>
            </w:r>
          </w:p>
          <w:p>
            <w:pPr>
              <w:pStyle w:val="Normal"/>
              <w:bidi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>
        <w:trPr>
          <w:trHeight w:val="58" w:hRule="atLeast"/>
        </w:trPr>
        <w:tc>
          <w:tcPr>
            <w:tcW w:w="10489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>
        <w:trPr>
          <w:trHeight w:val="368" w:hRule="atLeast"/>
        </w:trPr>
        <w:tc>
          <w:tcPr>
            <w:tcW w:w="496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>
        <w:trPr>
          <w:trHeight w:val="846" w:hRule="atLeast"/>
        </w:trPr>
        <w:tc>
          <w:tcPr>
            <w:tcW w:w="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>
            <w:pPr>
              <w:pStyle w:val="Normal"/>
              <w:bidi w:val="0"/>
              <w:jc w:val="star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>
            <w:pPr>
              <w:pStyle w:val="Normal"/>
              <w:bidi w:val="0"/>
              <w:jc w:val="star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>
            <w:pPr>
              <w:pStyle w:val="Normal"/>
              <w:bidi w:val="0"/>
              <w:jc w:val="star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FF0000"/>
                <w:sz w:val="16"/>
                <w:szCs w:val="16"/>
              </w:rPr>
              <w:t>СРО.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>
        <w:trPr>
          <w:trHeight w:val="359" w:hRule="atLeast"/>
        </w:trPr>
        <w:tc>
          <w:tcPr>
            <w:tcW w:w="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highlight w:val="green"/>
              </w:rPr>
            </w:r>
          </w:p>
        </w:tc>
      </w:tr>
      <w:tr>
        <w:trPr>
          <w:trHeight w:val="359" w:hRule="atLeast"/>
        </w:trPr>
        <w:tc>
          <w:tcPr>
            <w:tcW w:w="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</w:r>
          </w:p>
        </w:tc>
        <w:tc>
          <w:tcPr>
            <w:tcW w:w="5528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highlight w:val="green"/>
              </w:rPr>
            </w:r>
          </w:p>
        </w:tc>
      </w:tr>
      <w:tr>
        <w:trPr>
          <w:trHeight w:val="973" w:hRule="atLeast"/>
        </w:trPr>
        <w:tc>
          <w:tcPr>
            <w:tcW w:w="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15" w:hRule="atLeast"/>
        </w:trPr>
        <w:tc>
          <w:tcPr>
            <w:tcW w:w="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</w:r>
          </w:p>
        </w:tc>
        <w:tc>
          <w:tcPr>
            <w:tcW w:w="3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>
            <w:pPr>
              <w:pStyle w:val="Normal"/>
              <w:bidi w:val="0"/>
              <w:jc w:val="star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</w:tr>
      <w:tr>
        <w:trPr>
          <w:trHeight w:val="135" w:hRule="atLeast"/>
        </w:trPr>
        <w:tc>
          <w:tcPr>
            <w:tcW w:w="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</w:r>
          </w:p>
        </w:tc>
        <w:tc>
          <w:tcPr>
            <w:tcW w:w="3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>
        <w:trPr>
          <w:trHeight w:val="51" w:hRule="atLeast"/>
        </w:trPr>
        <w:tc>
          <w:tcPr>
            <w:tcW w:w="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</w:r>
          </w:p>
        </w:tc>
        <w:tc>
          <w:tcPr>
            <w:tcW w:w="3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>
        <w:trPr>
          <w:trHeight w:val="181" w:hRule="atLeast"/>
        </w:trPr>
        <w:tc>
          <w:tcPr>
            <w:tcW w:w="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>
        <w:trPr>
          <w:trHeight w:val="87" w:hRule="atLeast"/>
        </w:trPr>
        <w:tc>
          <w:tcPr>
            <w:tcW w:w="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</w:r>
          </w:p>
        </w:tc>
        <w:tc>
          <w:tcPr>
            <w:tcW w:w="3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>
        <w:trPr>
          <w:trHeight w:val="250" w:hRule="atLeast"/>
        </w:trPr>
        <w:tc>
          <w:tcPr>
            <w:tcW w:w="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highlight w:val="green"/>
              </w:rPr>
            </w:r>
          </w:p>
        </w:tc>
        <w:tc>
          <w:tcPr>
            <w:tcW w:w="3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>
        <w:trPr>
          <w:trHeight w:val="58" w:hRule="atLeast"/>
        </w:trPr>
        <w:tc>
          <w:tcPr>
            <w:tcW w:w="10489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  <w:p>
            <w:pPr>
              <w:pStyle w:val="Normal"/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</w:tc>
      </w:tr>
    </w:tbl>
    <w:tbl>
      <w:tblPr>
        <w:tblStyle w:val="ad"/>
        <w:tblW w:w="10550" w:type="dxa"/>
        <w:jc w:val="start"/>
        <w:tblInd w:w="-85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71"/>
        <w:gridCol w:w="8052"/>
        <w:gridCol w:w="856"/>
        <w:gridCol w:w="770"/>
      </w:tblGrid>
      <w:tr>
        <w:trPr/>
        <w:tc>
          <w:tcPr>
            <w:tcW w:w="87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Неделя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Название темы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Кол-во часов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08" w:leader="none"/>
              </w:tabs>
              <w:bidi w:val="0"/>
              <w:spacing w:before="0" w:after="0"/>
              <w:ind w:firstLine="26" w:start="-68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Макс.</w:t>
            </w:r>
          </w:p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en-US" w:bidi="ar-SA"/>
              </w:rPr>
              <w:t>б</w:t>
            </w:r>
            <w:r>
              <w:rPr>
                <w:b/>
                <w:sz w:val="20"/>
                <w:szCs w:val="20"/>
                <w:lang w:eastAsia="en-US" w:bidi="ar-SA"/>
              </w:rPr>
              <w:t>алл</w:t>
            </w:r>
          </w:p>
        </w:tc>
      </w:tr>
      <w:tr>
        <w:trPr/>
        <w:tc>
          <w:tcPr>
            <w:tcW w:w="10549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bCs/>
                <w:spacing w:val="-11"/>
                <w:sz w:val="20"/>
                <w:szCs w:val="20"/>
                <w:lang w:eastAsia="en-US" w:bidi="ar-SA"/>
              </w:rPr>
              <w:t>Теоретические основы археографии</w:t>
            </w:r>
          </w:p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color w:val="FF0000"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BodyText"/>
              <w:tabs>
                <w:tab w:val="clear" w:pos="709"/>
                <w:tab w:val="left" w:pos="1232" w:leader="none"/>
                <w:tab w:val="left" w:pos="2816" w:leader="none"/>
              </w:tabs>
              <w:bidi w:val="0"/>
              <w:spacing w:before="0" w:after="0"/>
              <w:jc w:val="start"/>
              <w:rPr>
                <w:lang w:eastAsia="en-US" w:bidi="ar-SA"/>
              </w:rPr>
            </w:pPr>
            <w:r>
              <w:rPr>
                <w:b/>
                <w:sz w:val="20"/>
                <w:szCs w:val="20"/>
                <w:lang w:val="kk-KZ" w:eastAsia="en-US" w:bidi="ar-SA"/>
              </w:rPr>
              <w:t xml:space="preserve">Л </w:t>
            </w:r>
            <w:r>
              <w:rPr>
                <w:b/>
                <w:sz w:val="20"/>
                <w:szCs w:val="20"/>
                <w:lang w:eastAsia="en-US" w:bidi="ar-SA"/>
              </w:rPr>
              <w:t xml:space="preserve">1. </w:t>
            </w:r>
            <w:r>
              <w:rPr>
                <w:sz w:val="20"/>
                <w:szCs w:val="20"/>
                <w:lang w:val="kk-KZ" w:eastAsia="en-US" w:bidi="ar-SA"/>
              </w:rPr>
              <w:t>Введение.  Археографический фонд как важнейший компонент научного и культурного наследия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 xml:space="preserve">СЗ 1. </w:t>
            </w:r>
            <w:r>
              <w:rPr>
                <w:sz w:val="20"/>
                <w:szCs w:val="20"/>
                <w:lang w:val="kk-KZ" w:eastAsia="en-US" w:bidi="ar-SA"/>
              </w:rPr>
              <w:t xml:space="preserve">Структура курса, его составные части, их соотношение. Источники и литература </w:t>
            </w:r>
            <w:r>
              <w:rPr>
                <w:sz w:val="20"/>
                <w:szCs w:val="20"/>
                <w:lang w:eastAsia="en-US" w:bidi="ar-SA"/>
              </w:rPr>
              <w:t xml:space="preserve">по курсу. </w:t>
            </w:r>
            <w:r>
              <w:rPr>
                <w:sz w:val="20"/>
                <w:szCs w:val="20"/>
                <w:lang w:val="kk-KZ" w:eastAsia="en-US" w:bidi="ar-SA"/>
              </w:rPr>
              <w:t>Место археографии в системе гуманитарного знания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 xml:space="preserve">2. 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  </w:t>
            </w:r>
            <w:r>
              <w:rPr>
                <w:sz w:val="20"/>
                <w:szCs w:val="20"/>
                <w:lang w:eastAsia="en-US" w:bidi="ar-SA"/>
              </w:rPr>
              <w:t>Понятие научной публикации в археографии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2.</w:t>
            </w:r>
            <w:r>
              <w:rPr>
                <w:color w:val="FF000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Термины археографии, их историческое развитие. Предмет археографии, различные варианты понимания предмета археографии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bidi w:val="0"/>
              <w:spacing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</w:t>
            </w:r>
            <w:r>
              <w:rPr>
                <w:b/>
                <w:sz w:val="20"/>
                <w:szCs w:val="20"/>
                <w:lang w:val="kk-KZ" w:eastAsia="en-US" w:bidi="ar-SA"/>
              </w:rPr>
              <w:t>РО</w:t>
            </w:r>
            <w:r>
              <w:rPr>
                <w:b/>
                <w:sz w:val="20"/>
                <w:szCs w:val="20"/>
                <w:lang w:eastAsia="en-US" w:bidi="ar-SA"/>
              </w:rPr>
              <w:t xml:space="preserve">П 1. </w:t>
            </w:r>
            <w:r>
              <w:rPr>
                <w:sz w:val="20"/>
                <w:szCs w:val="20"/>
                <w:lang w:eastAsia="en-US" w:bidi="ar-SA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  <w:lang w:eastAsia="en-US" w:bidi="ar-SA"/>
              </w:rPr>
              <w:t xml:space="preserve">СРО 1 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3.</w:t>
            </w:r>
            <w:r>
              <w:rPr>
                <w:color w:val="FF000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История становления и развития археографии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3.</w:t>
            </w:r>
            <w:r>
              <w:rPr>
                <w:color w:val="FF000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eastAsia="en-US" w:bidi="ar-SA"/>
              </w:rPr>
              <w:t xml:space="preserve"> Этапы развития археографии. Роль архивных и научных учреждений в развитии археографии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10</w:t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color w:val="FF0000"/>
                <w:sz w:val="20"/>
                <w:szCs w:val="20"/>
              </w:rPr>
            </w:pPr>
            <w:bookmarkStart w:id="0" w:name="_Hlk156903322"/>
            <w:r>
              <w:rPr>
                <w:b/>
                <w:sz w:val="20"/>
                <w:szCs w:val="20"/>
                <w:lang w:eastAsia="en-US" w:bidi="ar-SA"/>
              </w:rPr>
              <w:t xml:space="preserve">СРО 1.  </w:t>
            </w:r>
            <w:r>
              <w:rPr>
                <w:sz w:val="20"/>
                <w:szCs w:val="20"/>
                <w:lang w:val="kk-KZ" w:eastAsia="en-US" w:bidi="ar-SA"/>
              </w:rPr>
              <w:t>История развития археографии в Казахстане.  Исторические предпосылки возникновения и условия развития отечественной археографии</w:t>
            </w:r>
            <w:r>
              <w:rPr>
                <w:bCs/>
                <w:sz w:val="20"/>
                <w:szCs w:val="20"/>
                <w:lang w:eastAsia="en-US" w:bidi="ar-SA"/>
              </w:rPr>
              <w:t xml:space="preserve"> (эссе)</w:t>
            </w:r>
            <w:bookmarkEnd w:id="0"/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25</w:t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4.</w:t>
            </w:r>
            <w:r>
              <w:rPr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Теоретико – методические аспекты публикации исторических                                                источников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4.</w:t>
            </w:r>
            <w:r>
              <w:rPr>
                <w:color w:val="FF000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Понятие научной публикации в археографии.</w:t>
            </w:r>
            <w:r>
              <w:rPr>
                <w:sz w:val="20"/>
                <w:szCs w:val="20"/>
                <w:lang w:eastAsia="ko-KR" w:bidi="ar-SA"/>
              </w:rPr>
              <w:t xml:space="preserve"> Функции публикации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10</w:t>
            </w:r>
          </w:p>
        </w:tc>
      </w:tr>
      <w:tr>
        <w:trPr/>
        <w:tc>
          <w:tcPr>
            <w:tcW w:w="87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en-US" w:bidi="ar-SA"/>
              </w:rPr>
              <w:t>Л5</w:t>
            </w:r>
            <w:r>
              <w:rPr>
                <w:sz w:val="20"/>
                <w:szCs w:val="20"/>
                <w:lang w:val="kk-KZ" w:eastAsia="en-US" w:bidi="ar-SA"/>
              </w:rPr>
              <w:t xml:space="preserve"> Модель документальной публикаций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en-US" w:bidi="ar-SA"/>
              </w:rPr>
              <w:t>С5</w:t>
            </w:r>
            <w:r>
              <w:rPr>
                <w:sz w:val="20"/>
                <w:szCs w:val="20"/>
                <w:lang w:val="kk-KZ" w:eastAsia="en-US" w:bidi="ar-SA"/>
              </w:rPr>
              <w:t xml:space="preserve"> Феноменология документальных публикаций. Модель документальной публикации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8</w:t>
            </w:r>
          </w:p>
        </w:tc>
      </w:tr>
      <w:tr>
        <w:trPr/>
        <w:tc>
          <w:tcPr>
            <w:tcW w:w="10549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 xml:space="preserve">МОДУЛЬ 2 </w:t>
            </w:r>
            <w:r>
              <w:rPr>
                <w:b/>
                <w:spacing w:val="-8"/>
                <w:sz w:val="20"/>
                <w:szCs w:val="20"/>
                <w:lang w:eastAsia="en-US" w:bidi="ar-SA"/>
              </w:rPr>
              <w:t>Методика подготовки документальных публикаций</w:t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6.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Методика подготовки документальных публикаций. Особенности подготовки аудиовизуальных и электронных публикаций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6.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Законодательные акты, регламентирующие публикаторскую деятельность</w:t>
            </w:r>
            <w:r>
              <w:rPr>
                <w:b/>
                <w:sz w:val="20"/>
                <w:szCs w:val="20"/>
                <w:lang w:eastAsia="en-US" w:bidi="ar-SA"/>
              </w:rPr>
              <w:t>.</w:t>
            </w:r>
            <w:r>
              <w:rPr>
                <w:sz w:val="20"/>
                <w:szCs w:val="20"/>
                <w:lang w:val="kk-KZ" w:eastAsia="en-US" w:bidi="ar-SA"/>
              </w:rPr>
              <w:t xml:space="preserve">        Нормативно – методические документы, регулирующие ведение работы по публикации документов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9</w:t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</w:t>
            </w:r>
            <w:r>
              <w:rPr>
                <w:b/>
                <w:sz w:val="20"/>
                <w:szCs w:val="20"/>
                <w:lang w:val="kk-KZ" w:eastAsia="en-US" w:bidi="ar-SA"/>
              </w:rPr>
              <w:t>РОП</w:t>
            </w:r>
            <w:r>
              <w:rPr>
                <w:b/>
                <w:sz w:val="20"/>
                <w:szCs w:val="20"/>
                <w:lang w:eastAsia="en-US" w:bidi="ar-SA"/>
              </w:rPr>
              <w:t xml:space="preserve"> 2. </w:t>
            </w:r>
            <w:r>
              <w:rPr>
                <w:sz w:val="20"/>
                <w:szCs w:val="20"/>
                <w:lang w:eastAsia="en-US" w:bidi="ar-SA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  <w:lang w:eastAsia="en-US" w:bidi="ar-SA"/>
              </w:rPr>
              <w:t>СРО 2</w:t>
            </w:r>
            <w:r>
              <w:rPr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7.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Организационные основы п</w:t>
            </w:r>
            <w:r>
              <w:rPr>
                <w:sz w:val="20"/>
                <w:szCs w:val="20"/>
                <w:lang w:eastAsia="en-US" w:bidi="ar-SA"/>
              </w:rPr>
              <w:t>одготовк</w:t>
            </w:r>
            <w:r>
              <w:rPr>
                <w:sz w:val="20"/>
                <w:szCs w:val="20"/>
                <w:lang w:val="kk-KZ" w:eastAsia="en-US" w:bidi="ar-SA"/>
              </w:rPr>
              <w:t>и документальных изданий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7.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ko-KR" w:bidi="ar-SA"/>
              </w:rPr>
              <w:t>Общие требования к выявлению документов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8</w:t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bidi w:val="0"/>
              <w:spacing w:before="0" w:after="0"/>
              <w:jc w:val="both"/>
              <w:rPr>
                <w:color w:val="FF0000"/>
                <w:sz w:val="20"/>
                <w:szCs w:val="20"/>
                <w:lang w:val="kk-KZ"/>
              </w:rPr>
            </w:pPr>
            <w:bookmarkStart w:id="1" w:name="_Hlk156903347"/>
            <w:r>
              <w:rPr>
                <w:b/>
                <w:sz w:val="20"/>
                <w:szCs w:val="20"/>
                <w:lang w:eastAsia="en-US" w:bidi="ar-SA"/>
              </w:rPr>
              <w:t xml:space="preserve">СРО 2.  </w:t>
            </w:r>
            <w:r>
              <w:rPr>
                <w:sz w:val="20"/>
                <w:szCs w:val="20"/>
                <w:lang w:eastAsia="en-US" w:bidi="ar-SA"/>
              </w:rPr>
              <w:t>Характер взаимосвязей «документальные отложения – документальная публикация» и методы выявления документа для документальной публикации (реферат)</w:t>
            </w:r>
            <w:bookmarkEnd w:id="1"/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20</w:t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8.</w:t>
            </w:r>
            <w:r>
              <w:rPr>
                <w:bCs/>
                <w:iCs/>
                <w:sz w:val="20"/>
                <w:szCs w:val="20"/>
                <w:lang w:eastAsia="en-US" w:bidi="ar-SA"/>
              </w:rPr>
              <w:t xml:space="preserve"> Теория в</w:t>
            </w:r>
            <w:r>
              <w:rPr>
                <w:sz w:val="20"/>
                <w:szCs w:val="20"/>
                <w:lang w:val="kk-KZ" w:eastAsia="ko-KR" w:bidi="ar-SA"/>
              </w:rPr>
              <w:t>ыявление документов для издания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8.</w:t>
            </w:r>
            <w:r>
              <w:rPr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eastAsia="en-US" w:bidi="ar-SA"/>
              </w:rPr>
              <w:t xml:space="preserve"> Принципы выявления документов для различных типов издания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10</w:t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</w:t>
            </w:r>
            <w:r>
              <w:rPr>
                <w:b/>
                <w:sz w:val="20"/>
                <w:szCs w:val="20"/>
                <w:lang w:val="kk-KZ" w:eastAsia="en-US" w:bidi="ar-SA"/>
              </w:rPr>
              <w:t>РО</w:t>
            </w:r>
            <w:r>
              <w:rPr>
                <w:b/>
                <w:sz w:val="20"/>
                <w:szCs w:val="20"/>
                <w:lang w:eastAsia="en-US" w:bidi="ar-SA"/>
              </w:rPr>
              <w:t xml:space="preserve">П 3. </w:t>
            </w:r>
            <w:r>
              <w:rPr>
                <w:sz w:val="20"/>
                <w:szCs w:val="20"/>
                <w:lang w:eastAsia="en-US" w:bidi="ar-SA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  <w:lang w:eastAsia="en-US" w:bidi="ar-SA"/>
              </w:rPr>
              <w:t>СРО 3</w:t>
            </w:r>
            <w:r>
              <w:rPr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en-US" w:bidi="ar-SA"/>
              </w:rPr>
              <w:t>Рубежный контроль 1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100</w:t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9.</w:t>
            </w:r>
            <w:r>
              <w:rPr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ko-KR" w:bidi="ar-SA"/>
              </w:rPr>
              <w:t>Отбор документов для публикации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sz w:val="20"/>
                <w:szCs w:val="20"/>
                <w:lang w:eastAsia="en-US" w:bidi="ar-SA"/>
              </w:rPr>
            </w:pPr>
            <w:r>
              <w:rPr>
                <w:b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9.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eastAsia="ko-KR" w:bidi="ar-SA"/>
              </w:rPr>
              <w:t xml:space="preserve">Проблема отбора материала. </w:t>
            </w:r>
            <w:r>
              <w:rPr>
                <w:sz w:val="20"/>
                <w:szCs w:val="20"/>
                <w:lang w:val="kk-KZ" w:eastAsia="ko-KR" w:bidi="ar-SA"/>
              </w:rPr>
              <w:t xml:space="preserve">Критерии отбора. </w:t>
            </w:r>
            <w:r>
              <w:rPr>
                <w:sz w:val="20"/>
                <w:szCs w:val="20"/>
                <w:lang w:eastAsia="ko-KR" w:bidi="ar-SA"/>
              </w:rPr>
              <w:t xml:space="preserve"> Принципы и требования отбора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7</w:t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bookmarkStart w:id="2" w:name="_Hlk156903423"/>
            <w:r>
              <w:rPr>
                <w:b/>
                <w:sz w:val="20"/>
                <w:szCs w:val="20"/>
                <w:lang w:eastAsia="en-US" w:bidi="ar-SA"/>
              </w:rPr>
              <w:t xml:space="preserve">СРО 3. </w:t>
            </w:r>
            <w:r>
              <w:rPr>
                <w:sz w:val="20"/>
                <w:szCs w:val="20"/>
                <w:lang w:val="kk-KZ" w:eastAsia="en-US" w:bidi="ar-SA"/>
              </w:rPr>
              <w:t>Охарактеризовать Правила издания исторических документов в РК</w:t>
            </w:r>
            <w:r>
              <w:rPr>
                <w:sz w:val="20"/>
                <w:szCs w:val="20"/>
                <w:lang w:eastAsia="en-US" w:bidi="ar-SA"/>
              </w:rPr>
              <w:t xml:space="preserve"> (доклад)</w:t>
            </w:r>
            <w:bookmarkEnd w:id="2"/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20</w:t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start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10.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ko-KR" w:bidi="ar-SA"/>
              </w:rPr>
              <w:t>Археографическое оформление документов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10.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ko-KR" w:bidi="ar-SA"/>
              </w:rPr>
              <w:t>Поэтапность археографического оформления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7</w:t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11.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ko-KR" w:bidi="ar-SA"/>
              </w:rPr>
              <w:t>Выбор и передача текста документов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11.</w:t>
            </w:r>
            <w:r>
              <w:rPr>
                <w:bCs/>
                <w:iCs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ko-KR" w:bidi="ar-SA"/>
              </w:rPr>
              <w:t>Приемы передачи (способы воспроизведения) текста для публикации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6</w:t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СРОП 4</w:t>
            </w:r>
            <w:r>
              <w:rPr>
                <w:bCs/>
                <w:sz w:val="20"/>
                <w:szCs w:val="20"/>
                <w:lang w:eastAsia="en-US" w:bidi="ar-SA"/>
              </w:rPr>
              <w:t xml:space="preserve">.  </w:t>
            </w:r>
            <w:r>
              <w:rPr>
                <w:sz w:val="20"/>
                <w:szCs w:val="20"/>
                <w:lang w:eastAsia="en-US" w:bidi="ar-SA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  <w:lang w:eastAsia="en-US" w:bidi="ar-SA"/>
              </w:rPr>
              <w:t>СРО 4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Л12.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ko-KR" w:bidi="ar-SA"/>
              </w:rPr>
              <w:t>Научно – справочный аппарат публикации и его значение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12.</w:t>
            </w:r>
            <w:r>
              <w:rPr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eastAsia="ko-KR" w:bidi="ar-SA"/>
              </w:rPr>
              <w:t>Состав научно-справочного аппарата, их назначение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5</w:t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bookmarkStart w:id="3" w:name="_Hlk156903460"/>
            <w:r>
              <w:rPr>
                <w:b/>
                <w:sz w:val="20"/>
                <w:szCs w:val="20"/>
                <w:lang w:eastAsia="en-US" w:bidi="ar-SA"/>
              </w:rPr>
              <w:t>С</w:t>
            </w:r>
            <w:r>
              <w:rPr>
                <w:b/>
                <w:sz w:val="20"/>
                <w:szCs w:val="20"/>
                <w:lang w:val="kk-KZ" w:eastAsia="en-US" w:bidi="ar-SA"/>
              </w:rPr>
              <w:t>РО</w:t>
            </w:r>
            <w:r>
              <w:rPr>
                <w:b/>
                <w:sz w:val="20"/>
                <w:szCs w:val="20"/>
                <w:lang w:eastAsia="en-US" w:bidi="ar-SA"/>
              </w:rPr>
              <w:t xml:space="preserve"> 4. </w:t>
            </w:r>
            <w:bookmarkEnd w:id="3"/>
            <w:r>
              <w:rPr>
                <w:sz w:val="20"/>
                <w:szCs w:val="20"/>
                <w:lang w:eastAsia="en-US" w:bidi="ar-SA"/>
              </w:rPr>
              <w:t>Основные факторы, влияющие на выбор документов в качестве объектов публи</w:t>
              <w:softHyphen/>
              <w:t>кации: историографический, архивоведческий и источниковедческий (круглый стол)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 w:eastAsia="en-US" w:bidi="ar-SA"/>
              </w:rPr>
              <w:t>20</w:t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13.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eastAsia="ko-KR" w:bidi="ar-SA"/>
              </w:rPr>
              <w:t>Археографические знаки, их особенности при публикации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13.</w:t>
            </w:r>
            <w:r>
              <w:rPr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eastAsia="ko-KR" w:bidi="ar-SA"/>
              </w:rPr>
              <w:t>Способы указания знаков в заголовках, легендах и научно-справочном аппарате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5</w:t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</w:t>
            </w:r>
            <w:r>
              <w:rPr>
                <w:b/>
                <w:sz w:val="20"/>
                <w:szCs w:val="20"/>
                <w:lang w:val="kk-KZ" w:eastAsia="en-US" w:bidi="ar-SA"/>
              </w:rPr>
              <w:t>РО</w:t>
            </w:r>
            <w:r>
              <w:rPr>
                <w:b/>
                <w:sz w:val="20"/>
                <w:szCs w:val="20"/>
                <w:lang w:eastAsia="en-US" w:bidi="ar-SA"/>
              </w:rPr>
              <w:t xml:space="preserve">П 5. </w:t>
            </w:r>
            <w:r>
              <w:rPr>
                <w:sz w:val="20"/>
                <w:szCs w:val="20"/>
                <w:lang w:eastAsia="en-US" w:bidi="ar-SA"/>
              </w:rPr>
              <w:t xml:space="preserve">Консультация по выполнению </w:t>
            </w:r>
            <w:r>
              <w:rPr>
                <w:b/>
                <w:bCs/>
                <w:sz w:val="20"/>
                <w:szCs w:val="20"/>
                <w:lang w:eastAsia="en-US" w:bidi="ar-SA"/>
              </w:rPr>
              <w:t>СРО 5.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14.</w:t>
            </w:r>
            <w:r>
              <w:rPr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eastAsia="en-US" w:bidi="ar-SA"/>
              </w:rPr>
              <w:t>Технология подготовки электронных документальных публикаций. Передача текста документов: текстовая, факсимильная (оцифрованные, изобразительные, звуковые)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14.</w:t>
            </w:r>
            <w:r>
              <w:rPr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pacing w:val="-9"/>
                <w:sz w:val="20"/>
                <w:szCs w:val="20"/>
                <w:lang w:eastAsia="en-US" w:bidi="ar-SA"/>
              </w:rPr>
              <w:t>Перспективы применения мультимедиа технологий в подготовке публикаций архивных документов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5</w:t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15.</w:t>
            </w:r>
            <w:r>
              <w:rPr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eastAsia="en-US" w:bidi="ar-SA"/>
              </w:rPr>
              <w:t>Электронные публикации и Интернет-публикации – потенциал развития археографии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15.</w:t>
            </w:r>
            <w:r>
              <w:rPr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eastAsia="en-US" w:bidi="ar-SA"/>
              </w:rPr>
              <w:t>Технология подготовки электронных документальных публикаций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5</w:t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 xml:space="preserve">СРО 5.  </w:t>
            </w:r>
            <w:r>
              <w:rPr>
                <w:sz w:val="20"/>
                <w:szCs w:val="20"/>
                <w:lang w:eastAsia="en-US" w:bidi="ar-SA"/>
              </w:rPr>
              <w:t>Документальная публикация в системе источниковой базы исторической науки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20</w:t>
            </w:r>
            <w:bookmarkStart w:id="4" w:name="_Hlk156903484"/>
            <w:bookmarkEnd w:id="4"/>
          </w:p>
        </w:tc>
      </w:tr>
      <w:tr>
        <w:trPr/>
        <w:tc>
          <w:tcPr>
            <w:tcW w:w="9779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en-US" w:bidi="ar-SA"/>
              </w:rPr>
              <w:t>Рубежный контроль 2</w:t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100</w:t>
            </w:r>
          </w:p>
        </w:tc>
      </w:tr>
      <w:tr>
        <w:trPr/>
        <w:tc>
          <w:tcPr>
            <w:tcW w:w="9779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Итоговый контроль (экзамен)</w:t>
            </w:r>
          </w:p>
        </w:tc>
        <w:tc>
          <w:tcPr>
            <w:tcW w:w="77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100</w:t>
            </w:r>
          </w:p>
        </w:tc>
      </w:tr>
      <w:tr>
        <w:trPr/>
        <w:tc>
          <w:tcPr>
            <w:tcW w:w="9779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ИТОГО за дисциплину</w:t>
            </w:r>
          </w:p>
        </w:tc>
        <w:tc>
          <w:tcPr>
            <w:tcW w:w="77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100</w:t>
            </w:r>
          </w:p>
        </w:tc>
      </w:tr>
    </w:tbl>
    <w:p>
      <w:pPr>
        <w:pStyle w:val="Normal"/>
        <w:tabs>
          <w:tab w:val="clear" w:pos="709"/>
          <w:tab w:val="left" w:pos="1276" w:leader="none"/>
        </w:tabs>
        <w:bidi w:val="0"/>
        <w:jc w:val="star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>
      <w:pPr>
        <w:pStyle w:val="Normal"/>
        <w:tabs>
          <w:tab w:val="clear" w:pos="709"/>
          <w:tab w:val="left" w:pos="1276" w:leader="none"/>
        </w:tabs>
        <w:bidi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Рубрикатор оценивания учебного достижения по СРО</w:t>
      </w:r>
    </w:p>
    <w:p>
      <w:pPr>
        <w:pStyle w:val="Normal"/>
        <w:tabs>
          <w:tab w:val="clear" w:pos="709"/>
          <w:tab w:val="left" w:pos="1276" w:leader="none"/>
        </w:tabs>
        <w:bidi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Style w:val="ad"/>
        <w:tblW w:w="10774" w:type="dxa"/>
        <w:jc w:val="start"/>
        <w:tblInd w:w="-74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275"/>
        <w:gridCol w:w="1986"/>
        <w:gridCol w:w="2268"/>
        <w:gridCol w:w="2269"/>
        <w:gridCol w:w="1700"/>
        <w:gridCol w:w="1275"/>
      </w:tblGrid>
      <w:tr>
        <w:trPr/>
        <w:tc>
          <w:tcPr>
            <w:tcW w:w="1275" w:type="dxa"/>
            <w:vMerge w:val="restart"/>
            <w:tcBorders/>
            <w:shd w:color="auto" w:fill="83CAEB" w:themeFill="accent1" w:themeFillTint="66" w:val="clea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 w:bidi="ar-SA"/>
              </w:rPr>
              <w:t>Критерий</w:t>
            </w:r>
          </w:p>
          <w:p>
            <w:pPr>
              <w:pStyle w:val="Normal"/>
              <w:widowControl/>
              <w:bidi w:val="0"/>
              <w:spacing w:before="0" w:after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498" w:type="dxa"/>
            <w:gridSpan w:val="5"/>
            <w:tcBorders/>
            <w:shd w:color="auto" w:fill="83CAEB" w:themeFill="accent1" w:themeFillTint="66" w:val="clea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 w:bidi="ar-SA"/>
              </w:rPr>
              <w:t>ДЕСКРИПТОР</w:t>
            </w:r>
            <w:r>
              <w:rPr>
                <w:b/>
                <w:bCs/>
                <w:sz w:val="20"/>
                <w:szCs w:val="20"/>
                <w:lang w:val="kk-KZ" w:eastAsia="en-US" w:bidi="ar-SA"/>
              </w:rPr>
              <w:t>Ы</w:t>
            </w:r>
          </w:p>
        </w:tc>
      </w:tr>
      <w:tr>
        <w:trPr/>
        <w:tc>
          <w:tcPr>
            <w:tcW w:w="1275" w:type="dxa"/>
            <w:vMerge w:val="continue"/>
            <w:tcBorders/>
            <w:shd w:color="auto" w:fill="83CAEB" w:themeFill="accent1" w:themeFillTint="66" w:val="clea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6" w:type="dxa"/>
            <w:tcBorders/>
            <w:shd w:color="auto" w:fill="83CAEB" w:themeFill="accent1" w:themeFillTint="66" w:val="clear"/>
          </w:tcPr>
          <w:p>
            <w:pPr>
              <w:pStyle w:val="paragraph"/>
              <w:widowControl/>
              <w:bidi w:val="0"/>
              <w:spacing w:beforeAutospacing="0" w:before="0" w:afterAutospacing="0" w:after="0"/>
              <w:jc w:val="start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="DejaVu Sans" w:eastAsiaTheme="majorEastAsia"/>
                <w:b/>
                <w:bCs/>
                <w:color w:val="000000"/>
                <w:sz w:val="20"/>
                <w:szCs w:val="20"/>
                <w:lang w:bidi="ar-SA"/>
              </w:rPr>
              <w:t>«Отлично» </w:t>
            </w:r>
            <w:r>
              <w:rPr>
                <w:rStyle w:val="eop"/>
                <w:rFonts w:eastAsia="DejaVu Sans" w:eastAsiaTheme="majorEastAsia"/>
                <w:color w:val="000000"/>
                <w:sz w:val="20"/>
                <w:szCs w:val="20"/>
                <w:lang w:bidi="ar-SA"/>
              </w:rPr>
              <w:t> </w:t>
            </w:r>
          </w:p>
          <w:p>
            <w:pPr>
              <w:pStyle w:val="Normal"/>
              <w:widowControl/>
              <w:bidi w:val="0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="DejaVu Sans" w:eastAsiaTheme="majorEastAsia"/>
                <w:color w:val="000000"/>
                <w:sz w:val="20"/>
                <w:szCs w:val="20"/>
                <w:lang w:eastAsia="en-US" w:bidi="ar-SA"/>
              </w:rPr>
              <w:t>20-25 % </w:t>
            </w:r>
            <w:r>
              <w:rPr>
                <w:rStyle w:val="eop"/>
                <w:rFonts w:eastAsia="DejaVu Sans" w:eastAsiaTheme="majorEastAsia"/>
                <w:color w:val="000000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268" w:type="dxa"/>
            <w:tcBorders/>
            <w:shd w:color="auto" w:fill="83CAEB" w:themeFill="accent1" w:themeFillTint="66" w:val="clear"/>
          </w:tcPr>
          <w:p>
            <w:pPr>
              <w:pStyle w:val="paragraph"/>
              <w:widowControl/>
              <w:bidi w:val="0"/>
              <w:spacing w:beforeAutospacing="0" w:before="0" w:afterAutospacing="0" w:after="0"/>
              <w:jc w:val="start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="DejaVu Sans" w:eastAsiaTheme="majorEastAsia"/>
                <w:b/>
                <w:bCs/>
                <w:color w:val="000000"/>
                <w:sz w:val="20"/>
                <w:szCs w:val="20"/>
                <w:lang w:bidi="ar-SA"/>
              </w:rPr>
              <w:t>«Хорошо»</w:t>
            </w:r>
            <w:r>
              <w:rPr>
                <w:rStyle w:val="eop"/>
                <w:rFonts w:eastAsia="DejaVu Sans" w:eastAsiaTheme="majorEastAsia"/>
                <w:color w:val="000000"/>
                <w:sz w:val="20"/>
                <w:szCs w:val="20"/>
                <w:lang w:bidi="ar-SA"/>
              </w:rPr>
              <w:t> </w:t>
            </w:r>
          </w:p>
          <w:p>
            <w:pPr>
              <w:pStyle w:val="Normal"/>
              <w:widowControl/>
              <w:bidi w:val="0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="DejaVu Sans" w:eastAsiaTheme="majorEastAsia"/>
                <w:color w:val="000000"/>
                <w:sz w:val="20"/>
                <w:szCs w:val="20"/>
                <w:lang w:eastAsia="en-US" w:bidi="ar-SA"/>
              </w:rPr>
              <w:t>15-20%  </w:t>
            </w:r>
            <w:r>
              <w:rPr>
                <w:rStyle w:val="eop"/>
                <w:rFonts w:eastAsia="DejaVu Sans" w:eastAsiaTheme="majorEastAsia"/>
                <w:color w:val="000000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269" w:type="dxa"/>
            <w:tcBorders/>
            <w:shd w:color="auto" w:fill="83CAEB" w:themeFill="accent1" w:themeFillTint="66" w:val="clear"/>
          </w:tcPr>
          <w:p>
            <w:pPr>
              <w:pStyle w:val="paragraph"/>
              <w:widowControl/>
              <w:bidi w:val="0"/>
              <w:spacing w:beforeAutospacing="0" w:before="0" w:afterAutospacing="0" w:after="0"/>
              <w:jc w:val="start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="DejaVu Sans" w:eastAsiaTheme="majorEastAsia"/>
                <w:b/>
                <w:bCs/>
                <w:color w:val="000000"/>
                <w:sz w:val="20"/>
                <w:szCs w:val="20"/>
                <w:lang w:bidi="ar-SA"/>
              </w:rPr>
              <w:t>«Удовлетворительно»  </w:t>
            </w:r>
            <w:r>
              <w:rPr>
                <w:rStyle w:val="eop"/>
                <w:rFonts w:eastAsia="DejaVu Sans" w:eastAsiaTheme="majorEastAsia"/>
                <w:color w:val="000000"/>
                <w:sz w:val="20"/>
                <w:szCs w:val="20"/>
                <w:lang w:bidi="ar-SA"/>
              </w:rPr>
              <w:t> </w:t>
            </w:r>
          </w:p>
          <w:p>
            <w:pPr>
              <w:pStyle w:val="Normal"/>
              <w:widowControl/>
              <w:bidi w:val="0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="DejaVu Sans" w:eastAsiaTheme="majorEastAsia"/>
                <w:color w:val="000000"/>
                <w:sz w:val="20"/>
                <w:szCs w:val="20"/>
                <w:lang w:eastAsia="en-US" w:bidi="ar-SA"/>
              </w:rPr>
              <w:t>10-15%</w:t>
            </w:r>
            <w:r>
              <w:rPr>
                <w:rStyle w:val="eop"/>
                <w:rFonts w:eastAsia="DejaVu Sans" w:eastAsiaTheme="majorEastAsia"/>
                <w:color w:val="000000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975" w:type="dxa"/>
            <w:gridSpan w:val="2"/>
            <w:tcBorders/>
            <w:shd w:color="auto" w:fill="83CAEB" w:themeFill="accent1" w:themeFillTint="66" w:val="clear"/>
          </w:tcPr>
          <w:p>
            <w:pPr>
              <w:pStyle w:val="paragraph"/>
              <w:widowControl/>
              <w:bidi w:val="0"/>
              <w:spacing w:beforeAutospacing="0" w:before="0" w:afterAutospacing="0" w:after="0"/>
              <w:jc w:val="start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="DejaVu Sans" w:eastAsiaTheme="majorEastAsia"/>
                <w:b/>
                <w:bCs/>
                <w:color w:val="000000"/>
                <w:sz w:val="20"/>
                <w:szCs w:val="20"/>
                <w:lang w:bidi="ar-SA"/>
              </w:rPr>
              <w:t>«Неудовлетворительно»</w:t>
            </w:r>
            <w:r>
              <w:rPr>
                <w:rStyle w:val="eop"/>
                <w:rFonts w:eastAsia="DejaVu Sans" w:eastAsiaTheme="majorEastAsia"/>
                <w:color w:val="000000"/>
                <w:sz w:val="20"/>
                <w:szCs w:val="20"/>
                <w:lang w:bidi="ar-SA"/>
              </w:rPr>
              <w:t> </w:t>
            </w:r>
          </w:p>
          <w:p>
            <w:pPr>
              <w:pStyle w:val="Normal"/>
              <w:widowControl/>
              <w:bidi w:val="0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="DejaVu Sans" w:eastAsiaTheme="majorEastAsia"/>
                <w:b/>
                <w:bCs/>
                <w:color w:val="000000"/>
                <w:sz w:val="20"/>
                <w:szCs w:val="20"/>
                <w:lang w:eastAsia="en-US" w:bidi="ar-SA"/>
              </w:rPr>
              <w:t> </w:t>
            </w:r>
            <w:r>
              <w:rPr>
                <w:rStyle w:val="normaltextrun"/>
                <w:rFonts w:eastAsia="DejaVu Sans" w:eastAsiaTheme="majorEastAsia"/>
                <w:color w:val="000000"/>
                <w:sz w:val="20"/>
                <w:szCs w:val="20"/>
                <w:lang w:eastAsia="en-US" w:bidi="ar-SA"/>
              </w:rPr>
              <w:t>0-10%</w:t>
            </w:r>
            <w:r>
              <w:rPr>
                <w:rStyle w:val="eop"/>
                <w:rFonts w:eastAsia="DejaVu Sans" w:eastAsiaTheme="majorEastAsia"/>
                <w:color w:val="000000"/>
                <w:sz w:val="20"/>
                <w:szCs w:val="20"/>
                <w:lang w:eastAsia="en-US" w:bidi="ar-SA"/>
              </w:rPr>
              <w:t> </w:t>
            </w:r>
          </w:p>
        </w:tc>
      </w:tr>
      <w:tr>
        <w:trPr/>
        <w:tc>
          <w:tcPr>
            <w:tcW w:w="1275" w:type="dxa"/>
            <w:vMerge w:val="continue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6" w:type="dxa"/>
            <w:tcBorders/>
            <w:shd w:color="auto" w:fill="83CAEB" w:themeFill="accent1" w:themeFillTint="66" w:val="clear"/>
          </w:tcPr>
          <w:p>
            <w:pPr>
              <w:pStyle w:val="NormalWeb"/>
              <w:widowControl/>
              <w:bidi w:val="0"/>
              <w:spacing w:beforeAutospacing="0" w:before="0" w:afterAutospacing="0" w:after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2268" w:type="dxa"/>
            <w:tcBorders/>
            <w:shd w:color="auto" w:fill="83CAEB" w:themeFill="accent1" w:themeFillTint="66" w:val="clear"/>
          </w:tcPr>
          <w:p>
            <w:pPr>
              <w:pStyle w:val="NormalWeb"/>
              <w:widowControl/>
              <w:bidi w:val="0"/>
              <w:spacing w:beforeAutospacing="0" w:before="0" w:afterAutospacing="0" w:after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2269" w:type="dxa"/>
            <w:tcBorders/>
            <w:shd w:color="auto" w:fill="83CAEB" w:themeFill="accent1" w:themeFillTint="66" w:val="clear"/>
          </w:tcPr>
          <w:p>
            <w:pPr>
              <w:pStyle w:val="NormalWeb"/>
              <w:widowControl/>
              <w:bidi w:val="0"/>
              <w:spacing w:beforeAutospacing="0" w:before="0" w:afterAutospacing="0" w:after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1700" w:type="dxa"/>
            <w:tcBorders/>
            <w:shd w:color="auto" w:fill="83CAEB" w:themeFill="accent1" w:themeFillTint="66" w:val="clear"/>
          </w:tcPr>
          <w:p>
            <w:pPr>
              <w:pStyle w:val="NormalWeb"/>
              <w:widowControl/>
              <w:bidi w:val="0"/>
              <w:spacing w:beforeAutospacing="0" w:before="0" w:afterAutospacing="0" w:after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1275" w:type="dxa"/>
            <w:tcBorders/>
            <w:shd w:color="auto" w:fill="83CAEB" w:themeFill="accent1" w:themeFillTint="66" w:val="clear"/>
          </w:tcPr>
          <w:p>
            <w:pPr>
              <w:pStyle w:val="NormalWeb"/>
              <w:widowControl/>
              <w:bidi w:val="0"/>
              <w:spacing w:beforeAutospacing="0" w:before="0" w:afterAutospacing="0" w:after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</w:tr>
      <w:tr>
        <w:trPr/>
        <w:tc>
          <w:tcPr>
            <w:tcW w:w="1275" w:type="dxa"/>
            <w:tcBorders/>
          </w:tcPr>
          <w:p>
            <w:pPr>
              <w:pStyle w:val="paragraph"/>
              <w:widowControl/>
              <w:bidi w:val="0"/>
              <w:spacing w:beforeAutospacing="0" w:before="0" w:afterAutospacing="0" w:after="0"/>
              <w:jc w:val="start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="DejaVu Sans" w:eastAsiaTheme="majorEastAsia"/>
                <w:b/>
                <w:bCs/>
                <w:sz w:val="20"/>
                <w:szCs w:val="20"/>
                <w:lang w:bidi="ar-SA"/>
              </w:rPr>
              <w:t>Понимание теорий </w:t>
            </w:r>
            <w:r>
              <w:rPr>
                <w:rStyle w:val="eop"/>
                <w:rFonts w:eastAsia="DejaVu Sans" w:eastAsiaTheme="majorEastAsia"/>
                <w:sz w:val="20"/>
                <w:szCs w:val="20"/>
                <w:lang w:bidi="ar-SA"/>
              </w:rPr>
              <w:t> </w:t>
            </w:r>
          </w:p>
          <w:p>
            <w:pPr>
              <w:pStyle w:val="Normal"/>
              <w:widowControl/>
              <w:bidi w:val="0"/>
              <w:spacing w:before="0" w:after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="DejaVu Sans" w:eastAsiaTheme="majorEastAsia"/>
                <w:b/>
                <w:bCs/>
                <w:sz w:val="20"/>
                <w:szCs w:val="20"/>
                <w:lang w:eastAsia="en-US" w:bidi="ar-SA"/>
              </w:rPr>
              <w:t>и концепций профессиональной идентичности и профессионализма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hd w:val="clear" w:color="auto" w:fill="FFFFFF"/>
              <w:bidi w:val="0"/>
              <w:spacing w:before="0" w:after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Оценка «отлично» выставляется за логически и последовательно выстроенную самостоятельную работу, содержащую подробные доводы каждого вывода, в которых полностью отражена теория задания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Оценка «хорошо» выставляется в том случае, когда теоретические вопросы достаточно раскрыты, но некоторые вопросы не охвачены полностью, указаны сокращенные аргументы основных положений; может быть допущена ошибка в логике и последовательности подачи материала. В задании могут быть допущены некоторые стилистические ошибки, а также неправильное использование терминов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Оценка «удовлетворительно» выставляется в случае неполного раскрытия теоретического задания в самостоятельной работе, не доказаны основные принципы; в работе допущены композиционные диспропорции, нарушения логики и последовательности предоставления материала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Неправильное раскрытие теоретических выводов задания, ошибочное обоснование, неправильное заключение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 w:bidi="ar-SA"/>
              </w:rPr>
              <w:t>Незнание основных понятий, теоретических концепций по заданию, незнание конкретных фактов и событий</w:t>
            </w:r>
          </w:p>
        </w:tc>
      </w:tr>
      <w:tr>
        <w:trPr/>
        <w:tc>
          <w:tcPr>
            <w:tcW w:w="127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 w:bidi="ar-SA"/>
              </w:rPr>
              <w:t>Применение выбранной методики и технологии к конкретным практическим заданиям</w:t>
            </w:r>
          </w:p>
        </w:tc>
        <w:tc>
          <w:tcPr>
            <w:tcW w:w="1986" w:type="dxa"/>
            <w:tcBorders/>
          </w:tcPr>
          <w:p>
            <w:pPr>
              <w:pStyle w:val="NormalWeb"/>
              <w:widowControl/>
              <w:bidi w:val="0"/>
              <w:spacing w:beforeAutospacing="0" w:before="0" w:afterAutospacing="0" w:after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bidi="ar-SA"/>
              </w:rPr>
              <w:t>Полноценное выполнение заданий СРС, полноценная защита работы, дача мотивированных ответов на поставленные вопросы, решение практических вопросов задания</w:t>
            </w:r>
          </w:p>
        </w:tc>
        <w:tc>
          <w:tcPr>
            <w:tcW w:w="2268" w:type="dxa"/>
            <w:tcBorders/>
          </w:tcPr>
          <w:p>
            <w:pPr>
              <w:pStyle w:val="NormalWeb"/>
              <w:widowControl/>
              <w:bidi w:val="0"/>
              <w:spacing w:beforeAutospacing="0" w:before="0" w:afterAutospacing="0" w:after="0"/>
              <w:jc w:val="star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bidi="ar-SA"/>
              </w:rPr>
              <w:t>Частичное выполнение задания, неполное решение практических задач предмета, неполный, но мотивированный ответ на поставленный вопрос; неграмотное использование норм научного языка по дисциплине</w:t>
            </w:r>
          </w:p>
        </w:tc>
        <w:tc>
          <w:tcPr>
            <w:tcW w:w="2269" w:type="dxa"/>
            <w:tcBorders/>
          </w:tcPr>
          <w:p>
            <w:pPr>
              <w:pStyle w:val="NormalWeb"/>
              <w:widowControl/>
              <w:bidi w:val="0"/>
              <w:spacing w:beforeAutospacing="0" w:before="0" w:afterAutospacing="0" w:after="0"/>
              <w:jc w:val="star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bidi="ar-SA"/>
              </w:rPr>
              <w:t>Доводится материал прерывисто, искажаются логика и последовательность, допускаются фактические и смысловые неточности, применяются поверхностные, односторонние теоретические знания предмета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 w:bidi="ar-SA"/>
              </w:rPr>
              <w:t>Применение нерационального метода решения задачи или дача недостаточно продуманного ответа; не выполнение задач в целом; допущение ошибок и недостатков, превышающих нормы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 w:bidi="ar-SA"/>
              </w:rPr>
              <w:t>Неспособность применять знания, алгоритмы для решения задач; не может делать выводы.</w:t>
            </w:r>
          </w:p>
          <w:p>
            <w:pPr>
              <w:pStyle w:val="Normal"/>
              <w:widowControl/>
              <w:bidi w:val="0"/>
              <w:spacing w:before="0" w:after="0"/>
              <w:jc w:val="star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 w:bidi="ar-SA"/>
              </w:rPr>
              <w:t>Частое отсутствие на занятиях</w:t>
            </w:r>
          </w:p>
        </w:tc>
      </w:tr>
      <w:tr>
        <w:trPr/>
        <w:tc>
          <w:tcPr>
            <w:tcW w:w="127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en-US" w:bidi="ar-SA"/>
              </w:rPr>
              <w:t>Оценка и анализ применения выбранной методики к предложенному практическому заданию, обоснование полученного результата</w:t>
            </w:r>
          </w:p>
          <w:p>
            <w:pPr>
              <w:pStyle w:val="Normal"/>
              <w:widowControl/>
              <w:bidi w:val="0"/>
              <w:spacing w:before="0" w:after="0"/>
              <w:jc w:val="start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hd w:val="clear" w:color="auto" w:fill="FFFFFF"/>
              <w:bidi w:val="0"/>
              <w:spacing w:before="0" w:after="0"/>
              <w:jc w:val="start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 w:bidi="ar-SA"/>
              </w:rPr>
              <w:t>Полное выполнение задания, полные, аргументированные ответы на поставленные вопросы, решение практических вопросов предмета.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before="0" w:after="0"/>
              <w:jc w:val="start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 w:bidi="ar-SA"/>
              </w:rPr>
              <w:t>Применение научных принципов, последовательное, логическое и правильное обоснование применяемых методик и технологий, грамотность, соблюдение норм научного языка</w:t>
            </w:r>
          </w:p>
        </w:tc>
        <w:tc>
          <w:tcPr>
            <w:tcW w:w="2268" w:type="dxa"/>
            <w:tcBorders/>
          </w:tcPr>
          <w:p>
            <w:pPr>
              <w:pStyle w:val="NormalWeb"/>
              <w:widowControl/>
              <w:bidi w:val="0"/>
              <w:spacing w:beforeAutospacing="0" w:before="0" w:afterAutospacing="0" w:after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bidi="ar-SA"/>
              </w:rPr>
              <w:t>Допускаются 3-4 неточности в использовании концептуального материала, незначительные ошибки в обобщении и формулировках, что не влияет на общий уровень задания</w:t>
            </w:r>
          </w:p>
        </w:tc>
        <w:tc>
          <w:tcPr>
            <w:tcW w:w="2269" w:type="dxa"/>
            <w:tcBorders/>
          </w:tcPr>
          <w:p>
            <w:pPr>
              <w:pStyle w:val="NormalWeb"/>
              <w:widowControl/>
              <w:bidi w:val="0"/>
              <w:spacing w:beforeAutospacing="0" w:before="0" w:afterAutospacing="0" w:after="0"/>
              <w:jc w:val="star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bidi="ar-SA"/>
              </w:rPr>
              <w:t>Выводы о применении обоснованных научных положений неточны и неэффективны, наличие стилистических и грамматических ошибок, а также неточностей в обработке результатов практического решения</w:t>
            </w:r>
          </w:p>
        </w:tc>
        <w:tc>
          <w:tcPr>
            <w:tcW w:w="1700" w:type="dxa"/>
            <w:tcBorders/>
          </w:tcPr>
          <w:p>
            <w:pPr>
              <w:pStyle w:val="NormalWeb"/>
              <w:widowControl/>
              <w:bidi w:val="0"/>
              <w:spacing w:beforeAutospacing="0" w:before="0" w:afterAutospacing="0" w:after="0"/>
              <w:jc w:val="star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bidi="ar-SA"/>
              </w:rPr>
              <w:t>Поручение выполнено с грубыми ошибками, ответы на вопросы неполные, плохо использованы концептуальные материалы и аргументы</w:t>
            </w:r>
          </w:p>
        </w:tc>
        <w:tc>
          <w:tcPr>
            <w:tcW w:w="1275" w:type="dxa"/>
            <w:tcBorders/>
          </w:tcPr>
          <w:p>
            <w:pPr>
              <w:pStyle w:val="NormalWeb"/>
              <w:widowControl/>
              <w:bidi w:val="0"/>
              <w:spacing w:before="0" w:after="0"/>
              <w:jc w:val="star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bidi="ar-SA"/>
              </w:rPr>
              <w:t>Задание не выполнено, ответы на поставленные вопросы отсутствуют, материалы и средства анализа не используются</w:t>
            </w:r>
          </w:p>
        </w:tc>
      </w:tr>
    </w:tbl>
    <w:p>
      <w:pPr>
        <w:pStyle w:val="Normal"/>
        <w:bidi w:val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bidi w:val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bidi w:val="0"/>
        <w:jc w:val="start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bidi w:val="0"/>
        <w:jc w:val="start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bidi w:val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bidi w:val="0"/>
        <w:spacing w:before="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___________________________________  </w:t>
      </w:r>
      <w:r>
        <w:rPr>
          <w:sz w:val="20"/>
          <w:szCs w:val="20"/>
        </w:rPr>
        <w:t>Байгунаков Д.С.</w:t>
      </w:r>
      <w:r>
        <w:rPr>
          <w:b/>
          <w:sz w:val="20"/>
          <w:szCs w:val="20"/>
        </w:rPr>
        <w:t xml:space="preserve"> </w:t>
      </w:r>
    </w:p>
    <w:p>
      <w:pPr>
        <w:pStyle w:val="Normal"/>
        <w:bidi w:val="0"/>
        <w:spacing w:before="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spacing w:before="0" w:after="120"/>
        <w:jc w:val="start"/>
        <w:rPr>
          <w:b/>
          <w:sz w:val="20"/>
          <w:szCs w:val="20"/>
        </w:rPr>
      </w:pPr>
      <w:bookmarkStart w:id="5" w:name="_Hlk177028008"/>
      <w:r>
        <w:rPr>
          <w:b/>
          <w:sz w:val="20"/>
          <w:szCs w:val="20"/>
        </w:rPr>
        <w:t xml:space="preserve">Председатель Академического комитета </w:t>
      </w:r>
    </w:p>
    <w:p>
      <w:pPr>
        <w:pStyle w:val="Normal"/>
        <w:bidi w:val="0"/>
        <w:spacing w:before="0" w:after="120"/>
        <w:jc w:val="start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по качеству преподавания и обучения__________  </w:t>
      </w:r>
      <w:r>
        <w:rPr>
          <w:sz w:val="20"/>
          <w:szCs w:val="20"/>
        </w:rPr>
        <w:t>Бижанова М.Т</w:t>
      </w:r>
      <w:r>
        <w:rPr>
          <w:b/>
          <w:bCs/>
          <w:sz w:val="20"/>
          <w:szCs w:val="20"/>
        </w:rPr>
        <w:t>.</w:t>
      </w:r>
      <w:bookmarkEnd w:id="5"/>
    </w:p>
    <w:p>
      <w:pPr>
        <w:pStyle w:val="Normal"/>
        <w:bidi w:val="0"/>
        <w:spacing w:before="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</w:t>
      </w:r>
    </w:p>
    <w:p>
      <w:pPr>
        <w:pStyle w:val="Normal"/>
        <w:bidi w:val="0"/>
        <w:spacing w:before="0" w:after="120"/>
        <w:jc w:val="start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 ______________________</w:t>
      </w:r>
      <w:r>
        <w:rPr>
          <w:sz w:val="20"/>
          <w:szCs w:val="20"/>
        </w:rPr>
        <w:t xml:space="preserve"> Мырзабекова Р.С.</w:t>
      </w:r>
    </w:p>
    <w:p>
      <w:pPr>
        <w:pStyle w:val="Normal"/>
        <w:bidi w:val="0"/>
        <w:spacing w:before="0" w:after="120"/>
        <w:jc w:val="star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spacing w:before="0" w:after="120"/>
        <w:jc w:val="start"/>
        <w:rPr/>
      </w:pPr>
      <w:r>
        <w:rPr>
          <w:b/>
          <w:sz w:val="20"/>
          <w:szCs w:val="20"/>
        </w:rPr>
        <w:t>Лектор ___________________________________</w:t>
      </w:r>
      <w:r>
        <w:rPr>
          <w:sz w:val="20"/>
          <w:szCs w:val="20"/>
        </w:rPr>
        <w:t xml:space="preserve">   Сексенбаева Г. А.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0"/>
        <w:b w:val="false"/>
        <w:szCs w:val="20"/>
        <w:rFonts w:ascii="Times New Roman" w:hAnsi="Times New Roman" w:eastAsia="Arial" w:cs="Times New Roman" w:eastAsiaTheme="minorHAnsi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normaltextrun">
    <w:name w:val="normal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character" w:styleId="Hyperlink">
    <w:name w:val="Hyperlink"/>
    <w:rPr>
      <w:rFonts w:cs="Times New Roman"/>
      <w:color w:val="auto"/>
      <w:u w:val="none"/>
      <w:effect w:val="none"/>
    </w:rPr>
  </w:style>
  <w:style w:type="character" w:styleId="FollowedHyperlink">
    <w:name w:val="FollowedHyperlink"/>
    <w:basedOn w:val="DefaultParagraphFont"/>
    <w:rPr>
      <w:color w:themeColor="followedHyperlink" w:val="96607D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hi-IN"/>
      <w14:ligatures w14:val="none"/>
    </w:rPr>
  </w:style>
  <w:style w:type="paragraph" w:styleId="paragraph">
    <w:name w:val="paragraph"/>
    <w:basedOn w:val="Normal"/>
    <w:qFormat/>
    <w:pPr>
      <w:spacing w:beforeAutospacing="1" w:afterAutospacing="1"/>
    </w:pPr>
    <w:rPr>
      <w:lang w:eastAsia="ru-RU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eastAsia="ru-RU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library.kaznu.kz/ru" TargetMode="External"/><Relationship Id="rId3" Type="http://schemas.openxmlformats.org/officeDocument/2006/relationships/hyperlink" Target="https://urait.ru/bcode/510961" TargetMode="External"/><Relationship Id="rId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8" Type="http://schemas.openxmlformats.org/officeDocument/2006/relationships/hyperlink" Target="https://teams.microsoft.com/l/team/19%3A-IENFArdcPfrcTTbo1PNkLjgNWe0UYmEPZ9A1S5E35A1%40thread.tacv2/conversations?groupId=3aadd904-fe01-4b38-929e-5926909d573e&amp;tenantId=b0ab71a5-75b1-4d65-81f7-f479b4978d7b" TargetMode="External"/><Relationship Id="rId9" Type="http://schemas.openxmlformats.org/officeDocument/2006/relationships/hyperlink" Target="https://teams.microsoft.com/l/team/19%3A-IENFArdcPfrcTTbo1PNkLjgNWe0UYmEPZ9A1S5E35A1%40thread.tacv2/conversations?groupId=3aadd904-fe01-4b38-929e-5926909d573e&amp;tenantId=b0ab71a5-75b1-4d65-81f7-f479b4978d7b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LibreOffice/25.2.5.2$Windows_X86_64 LibreOffice_project/03d19516eb2e1dd5d4ccd751a0d6f35f35e08022</Application>
  <AppVersion>15.0000</AppVersion>
  <Pages>6</Pages>
  <Words>1939</Words>
  <Characters>14730</Characters>
  <CharactersWithSpaces>16790</CharactersWithSpaces>
  <Paragraphs>313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2025-09-08T10:13:43Z</dcterms:created>
  <dc:creator/>
  <dc:description/>
  <dc:language>en-US</dc:language>
  <cp:lastModifiedBy/>
  <dcterms:modified xsi:type="dcterms:W3CDTF">2025-09-29T10:10:31Z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